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22303" w14:textId="77777777" w:rsidR="00A3796E" w:rsidRDefault="00A3796E" w:rsidP="00A3796E">
      <w:pPr>
        <w:jc w:val="center"/>
      </w:pPr>
    </w:p>
    <w:p w14:paraId="1215F28C" w14:textId="77777777" w:rsidR="00A3796E" w:rsidRDefault="00A3796E" w:rsidP="00A3796E">
      <w:pPr>
        <w:jc w:val="center"/>
      </w:pPr>
    </w:p>
    <w:p w14:paraId="6A963258" w14:textId="77777777" w:rsidR="00A3796E" w:rsidRDefault="00A3796E" w:rsidP="00A3796E">
      <w:pPr>
        <w:jc w:val="center"/>
      </w:pPr>
    </w:p>
    <w:p w14:paraId="34AE3CC4" w14:textId="77777777" w:rsidR="00A3796E" w:rsidRDefault="00A3796E" w:rsidP="00A3796E">
      <w:pPr>
        <w:jc w:val="center"/>
      </w:pPr>
    </w:p>
    <w:p w14:paraId="7E032A8C" w14:textId="77777777" w:rsidR="00A3796E" w:rsidRDefault="00A3796E" w:rsidP="00A3796E">
      <w:pPr>
        <w:jc w:val="center"/>
      </w:pPr>
    </w:p>
    <w:p w14:paraId="1EEAD7C4" w14:textId="77777777" w:rsidR="00A3796E" w:rsidRDefault="00A3796E" w:rsidP="00A3796E">
      <w:pPr>
        <w:jc w:val="center"/>
      </w:pPr>
    </w:p>
    <w:p w14:paraId="4D32A497" w14:textId="77777777" w:rsidR="00A3796E" w:rsidRDefault="00A3796E" w:rsidP="00A3796E">
      <w:pPr>
        <w:jc w:val="center"/>
      </w:pPr>
    </w:p>
    <w:p w14:paraId="194AD9D4" w14:textId="77777777" w:rsidR="00A3796E" w:rsidRDefault="00A3796E" w:rsidP="00A3796E">
      <w:pPr>
        <w:jc w:val="center"/>
      </w:pPr>
    </w:p>
    <w:p w14:paraId="18DFCEA6" w14:textId="77777777" w:rsidR="00A3796E" w:rsidRDefault="00A3796E" w:rsidP="00A3796E">
      <w:pPr>
        <w:jc w:val="center"/>
      </w:pPr>
    </w:p>
    <w:p w14:paraId="7F60DB9C" w14:textId="77777777" w:rsidR="00A3796E" w:rsidRDefault="00A3796E" w:rsidP="00A3796E">
      <w:pPr>
        <w:jc w:val="center"/>
      </w:pPr>
    </w:p>
    <w:p w14:paraId="487CC965" w14:textId="77777777" w:rsidR="00A3796E" w:rsidRDefault="00A3796E" w:rsidP="00A3796E">
      <w:pPr>
        <w:jc w:val="center"/>
      </w:pPr>
    </w:p>
    <w:p w14:paraId="1B71C2D5" w14:textId="77777777" w:rsidR="00A3796E" w:rsidRDefault="00A3796E" w:rsidP="00A3796E">
      <w:pPr>
        <w:jc w:val="center"/>
      </w:pPr>
    </w:p>
    <w:p w14:paraId="6C4C3A1A" w14:textId="446D4C72" w:rsidR="00A3796E" w:rsidRDefault="00A3796E" w:rsidP="00A3796E">
      <w:pPr>
        <w:jc w:val="center"/>
      </w:pPr>
      <w:r>
        <w:t>Stockholders</w:t>
      </w:r>
      <w:r w:rsidR="006E26B3">
        <w:t>’</w:t>
      </w:r>
      <w:r>
        <w:t xml:space="preserve"> Equity</w:t>
      </w:r>
    </w:p>
    <w:p w14:paraId="435DE9A3" w14:textId="77777777" w:rsidR="00A3796E" w:rsidRDefault="00A3796E" w:rsidP="00A3796E">
      <w:pPr>
        <w:ind w:firstLine="0"/>
        <w:jc w:val="center"/>
      </w:pPr>
      <w:r>
        <w:t>Name</w:t>
      </w:r>
    </w:p>
    <w:p w14:paraId="6EF1F537" w14:textId="77777777" w:rsidR="00A3796E" w:rsidRDefault="00A3796E" w:rsidP="00A3796E">
      <w:pPr>
        <w:jc w:val="center"/>
      </w:pPr>
      <w:r>
        <w:t>Institution</w:t>
      </w:r>
      <w:r>
        <w:t xml:space="preserve"> </w:t>
      </w:r>
    </w:p>
    <w:p w14:paraId="63A3F5B9" w14:textId="77777777" w:rsidR="00A3796E" w:rsidRDefault="00A3796E">
      <w:r>
        <w:br w:type="page"/>
      </w:r>
    </w:p>
    <w:p w14:paraId="7D304642" w14:textId="2533D0E7" w:rsidR="009B6DCD" w:rsidRDefault="0040754B" w:rsidP="00A3796E">
      <w:pPr>
        <w:jc w:val="center"/>
      </w:pPr>
      <w:r>
        <w:lastRenderedPageBreak/>
        <w:t>Stockholders</w:t>
      </w:r>
      <w:r w:rsidR="00410AA5">
        <w:t>’</w:t>
      </w:r>
      <w:r>
        <w:t xml:space="preserve"> Equity</w:t>
      </w:r>
    </w:p>
    <w:p w14:paraId="2FC2C7D2" w14:textId="4703474C" w:rsidR="00597813" w:rsidRDefault="004702C8">
      <w:r>
        <w:t>For many entities, shareholder contributions are among the primary sources of financing. In the balance sheet, the shareholders or stockholders</w:t>
      </w:r>
      <w:r w:rsidR="0086610C">
        <w:t>’</w:t>
      </w:r>
      <w:r>
        <w:t xml:space="preserve"> equity section details the value of the investments made by the stockholders in the entity. </w:t>
      </w:r>
      <w:r w:rsidR="00E67253">
        <w:t xml:space="preserve">Hence the stockholders’ equity may be defined as the value of the assets left in an entity after the settling of all liabilities </w:t>
      </w:r>
      <w:r w:rsidR="00576CDA">
        <w:t xml:space="preserve">and it is usually given by the shareholders capital plus any retained earnings </w:t>
      </w:r>
      <w:r w:rsidR="00597813">
        <w:t>and donated capital less the dividends issued</w:t>
      </w:r>
      <w:r w:rsidR="003A5922">
        <w:t xml:space="preserve"> </w:t>
      </w:r>
      <w:r w:rsidR="003A5922" w:rsidRPr="003A5922">
        <w:t>(Kimmel, Weygandt, &amp; Kieso, 2016)</w:t>
      </w:r>
      <w:r w:rsidR="00597813" w:rsidRPr="003A5922">
        <w:t xml:space="preserve">. </w:t>
      </w:r>
      <w:r w:rsidR="00597813">
        <w:t xml:space="preserve">The balance sheet calculation of the stockholders’ entity is given by: </w:t>
      </w:r>
    </w:p>
    <w:p w14:paraId="20FE06EB" w14:textId="3933C1CC" w:rsidR="004702C8" w:rsidRDefault="00597813" w:rsidP="00597813">
      <w:r w:rsidRPr="00597813">
        <w:t xml:space="preserve"> Stockholders equity = Total assets – Total liabilities </w:t>
      </w:r>
    </w:p>
    <w:p w14:paraId="119E7612" w14:textId="0ABB7FC6" w:rsidR="00597813" w:rsidRDefault="00D12D5B" w:rsidP="00597813">
      <w:r>
        <w:t>A</w:t>
      </w:r>
      <w:r w:rsidR="00597813">
        <w:t>n</w:t>
      </w:r>
      <w:r>
        <w:t xml:space="preserve">other </w:t>
      </w:r>
      <w:r w:rsidR="00597813">
        <w:t xml:space="preserve">method of calculating that </w:t>
      </w:r>
      <w:r>
        <w:t>yields the same answer is:</w:t>
      </w:r>
      <w:r w:rsidR="00597813">
        <w:t xml:space="preserve"> </w:t>
      </w:r>
    </w:p>
    <w:p w14:paraId="2BC58EC1" w14:textId="24E4F5C4" w:rsidR="00597813" w:rsidRDefault="00597813" w:rsidP="00597813">
      <w:r>
        <w:t xml:space="preserve">Stockholders’ equity </w:t>
      </w:r>
      <w:r w:rsidRPr="00597813">
        <w:t>=</w:t>
      </w:r>
      <w:r>
        <w:t xml:space="preserve"> Shareholders capital </w:t>
      </w:r>
      <w:r w:rsidRPr="00597813">
        <w:t>+</w:t>
      </w:r>
      <w:r>
        <w:t xml:space="preserve"> retained earnings – treasury stock </w:t>
      </w:r>
    </w:p>
    <w:p w14:paraId="7EB525E2" w14:textId="36580E1F" w:rsidR="00466403" w:rsidRDefault="00466403" w:rsidP="00597813">
      <w:r>
        <w:t xml:space="preserve">The calculation of stockholders’ equity helps in the determination of the amount of money an entity has retained with a negative value more so when coupled with a significant debt liability being a </w:t>
      </w:r>
      <w:r w:rsidR="0009650D">
        <w:t xml:space="preserve">warning sign of bankruptcy. </w:t>
      </w:r>
    </w:p>
    <w:p w14:paraId="6B228909" w14:textId="3D3A2BAC" w:rsidR="005E31DD" w:rsidRDefault="005E31DD" w:rsidP="00597813">
      <w:r>
        <w:t>The balance sheet of Foot Locker Inc. contains various stockholder equity items</w:t>
      </w:r>
      <w:r w:rsidR="0079161E">
        <w:t xml:space="preserve">. The first item is the shareholders capital, which refers to the amount issued in common stock </w:t>
      </w:r>
    </w:p>
    <w:p w14:paraId="7BAA39DA" w14:textId="368996EC" w:rsidR="0079161E" w:rsidRDefault="0079161E" w:rsidP="002B2009">
      <w:r>
        <w:t>Shareholders capital</w:t>
      </w:r>
      <w:r>
        <w:tab/>
      </w:r>
      <w:r>
        <w:tab/>
      </w:r>
      <w:r>
        <w:tab/>
      </w:r>
      <w:r>
        <w:tab/>
        <w:t xml:space="preserve"> 2,519,000,000</w:t>
      </w:r>
    </w:p>
    <w:p w14:paraId="576FAA2F" w14:textId="38E5E04A" w:rsidR="002B2009" w:rsidRDefault="002B2009" w:rsidP="002B2009">
      <w:r>
        <w:t>Share-based compensation expense</w:t>
      </w:r>
      <w:r>
        <w:tab/>
      </w:r>
      <w:r>
        <w:tab/>
        <w:t>22,000,000</w:t>
      </w:r>
    </w:p>
    <w:p w14:paraId="59058BD4" w14:textId="721E23C6" w:rsidR="00FC393F" w:rsidRDefault="00307078" w:rsidP="00597813">
      <w:r>
        <w:t xml:space="preserve">Share repurchases </w:t>
      </w:r>
      <w:r>
        <w:tab/>
      </w:r>
      <w:r>
        <w:tab/>
      </w:r>
      <w:r>
        <w:tab/>
      </w:r>
      <w:r>
        <w:tab/>
        <w:t>375,000,000</w:t>
      </w:r>
    </w:p>
    <w:p w14:paraId="094F513A" w14:textId="6C42057C" w:rsidR="00307078" w:rsidRDefault="00307078" w:rsidP="00597813">
      <w:r>
        <w:t>Cash Dividends</w:t>
      </w:r>
      <w:r>
        <w:tab/>
      </w:r>
      <w:r>
        <w:tab/>
      </w:r>
      <w:r>
        <w:tab/>
      </w:r>
      <w:r>
        <w:tab/>
        <w:t>158,000,000</w:t>
      </w:r>
    </w:p>
    <w:p w14:paraId="3BD95E62" w14:textId="7E73140A" w:rsidR="00307078" w:rsidRDefault="004D2B94" w:rsidP="00597813">
      <w:r>
        <w:t xml:space="preserve">Income </w:t>
      </w:r>
      <w:r>
        <w:tab/>
      </w:r>
      <w:r>
        <w:tab/>
      </w:r>
      <w:r>
        <w:tab/>
      </w:r>
      <w:r>
        <w:tab/>
      </w:r>
      <w:r>
        <w:tab/>
        <w:t>541,000,000</w:t>
      </w:r>
    </w:p>
    <w:p w14:paraId="1FD4B680" w14:textId="3E6A1182" w:rsidR="00F56A79" w:rsidRDefault="00F56A79" w:rsidP="00597813">
      <w:r w:rsidRPr="00AD10A8">
        <w:t>(SEC, 2019)</w:t>
      </w:r>
    </w:p>
    <w:p w14:paraId="2325717B" w14:textId="2F94A1C7" w:rsidR="00AF416C" w:rsidRDefault="004D2B94" w:rsidP="00597813">
      <w:r>
        <w:t xml:space="preserve">As can be seen from the balance sheet of Foot Locker Inc. the company is actively engaged in the repurchasing of treasury stock. </w:t>
      </w:r>
      <w:r w:rsidR="00AF416C">
        <w:t xml:space="preserve">Treasury stock, which is also referred to as reacquired stock refers to stock that the issuing company buys back thereby reducing the </w:t>
      </w:r>
      <w:r w:rsidR="00AF416C">
        <w:lastRenderedPageBreak/>
        <w:t xml:space="preserve">amount of stock that is outstanding on the open market. When repurchasing stock, the management may want to retire the repurchased shares permanently or it may simply want to hold them with the intention of reissuing or reselling those shares at a later date. </w:t>
      </w:r>
      <w:r w:rsidR="00D83210">
        <w:t xml:space="preserve">At Foot Locker, reacquired shares are retired by returning them to the authorized but unissued status with the cost method being used to account for such transactions. In 2018, a total of 9 million shares were retired thus leading to a $400 million reduction in the treasury </w:t>
      </w:r>
      <w:r w:rsidR="00D83210" w:rsidRPr="00AD10A8">
        <w:t>stock</w:t>
      </w:r>
      <w:r w:rsidR="00AD10A8" w:rsidRPr="00AD10A8">
        <w:t xml:space="preserve"> </w:t>
      </w:r>
      <w:r w:rsidR="00AD10A8" w:rsidRPr="00AD10A8">
        <w:t>(</w:t>
      </w:r>
      <w:r w:rsidR="00AD10A8" w:rsidRPr="00AD10A8">
        <w:t>SEC</w:t>
      </w:r>
      <w:r w:rsidR="00AD10A8" w:rsidRPr="00AD10A8">
        <w:t>, 2019)</w:t>
      </w:r>
      <w:r w:rsidR="00D83210" w:rsidRPr="00AD10A8">
        <w:t>.</w:t>
      </w:r>
      <w:r w:rsidR="00D83210">
        <w:t xml:space="preserve"> </w:t>
      </w:r>
    </w:p>
    <w:p w14:paraId="7CA351B2" w14:textId="7C1F5403" w:rsidR="004D2B94" w:rsidRDefault="00AF416C" w:rsidP="00597813">
      <w:r>
        <w:t>There are various reasons why an organization may decide to engage in a stock repurchase. In the case of Foot Locker Inc. one potential reason for the stock repurchase program is that the organization intends to increase the earnings per share by reducing the total amount of shares that are available</w:t>
      </w:r>
      <w:r w:rsidR="00693A19">
        <w:t xml:space="preserve"> </w:t>
      </w:r>
      <w:r w:rsidR="00693A19" w:rsidRPr="003A5922">
        <w:t>(Kimmel, Weygandt, &amp; Kieso, 2016)</w:t>
      </w:r>
      <w:r>
        <w:t xml:space="preserve">. </w:t>
      </w:r>
      <w:r w:rsidR="002B2009">
        <w:t>Because share prices are primarily determined by the forces of demand and supply, a reduction in the shares available for purchase may ultimately</w:t>
      </w:r>
      <w:r>
        <w:t xml:space="preserve"> cause the prices of </w:t>
      </w:r>
      <w:r w:rsidR="002B2009">
        <w:t>Foot Locker</w:t>
      </w:r>
      <w:r>
        <w:t xml:space="preserve"> stock to rise</w:t>
      </w:r>
      <w:r w:rsidR="002B2009">
        <w:t xml:space="preserve">. A stock repurchase therefore serves as a corrective action where an entity feels that its stock is undervalued in the market. </w:t>
      </w:r>
      <w:r w:rsidR="00867F92">
        <w:t xml:space="preserve">The </w:t>
      </w:r>
      <w:r w:rsidR="00972698">
        <w:t xml:space="preserve">higher stock prices then serve as a value maximization strategy for the shareholders who decide not to participate in the repurchase program. </w:t>
      </w:r>
    </w:p>
    <w:p w14:paraId="4CC4CC6A" w14:textId="58E70082" w:rsidR="002B2009" w:rsidRDefault="002B2009" w:rsidP="00597813">
      <w:r>
        <w:t xml:space="preserve">Another reason why Foot Locker may have decided to repurchase stock is to mitigate the impact of dilution of stock arising from employee incentive compensation plans. Foot Locker </w:t>
      </w:r>
      <w:r w:rsidR="00617173">
        <w:t>has an Employee Stock Purchase Plan</w:t>
      </w:r>
      <w:r w:rsidR="00EA7F86">
        <w:t xml:space="preserve"> (ESPP)</w:t>
      </w:r>
      <w:r w:rsidR="00617173">
        <w:t xml:space="preserve">, which allows eligible staff members an opportunity to buy </w:t>
      </w:r>
      <w:r w:rsidR="004B7A97">
        <w:t xml:space="preserve">company stock at discounted rates. The exercise of this option entails the issuance of authorized but unissued units of common stock to qualifying employees, which increases the number of shares outstanding thus leading to dilution. Consequently, the repurchasing and subsequent retirement of the treasury stock helps to counter the dilution that may have arisen due to the ESPP. </w:t>
      </w:r>
    </w:p>
    <w:p w14:paraId="7F3E0D4F" w14:textId="77777777" w:rsidR="00693A19" w:rsidRDefault="00693A19">
      <w:pPr>
        <w:rPr>
          <w:rFonts w:eastAsia="Times New Roman" w:cs="Times New Roman"/>
          <w:color w:val="000000"/>
          <w:szCs w:val="24"/>
          <w:lang w:val="en-US"/>
        </w:rPr>
      </w:pPr>
      <w:r>
        <w:rPr>
          <w:rFonts w:eastAsia="Times New Roman" w:cs="Times New Roman"/>
          <w:color w:val="000000"/>
          <w:szCs w:val="24"/>
          <w:lang w:val="en-US"/>
        </w:rPr>
        <w:br w:type="page"/>
      </w:r>
      <w:bookmarkStart w:id="0" w:name="_GoBack"/>
      <w:bookmarkEnd w:id="0"/>
    </w:p>
    <w:p w14:paraId="0233F19C" w14:textId="7ECFA6C7" w:rsidR="00693A19" w:rsidRPr="00693A19" w:rsidRDefault="00693A19" w:rsidP="00693A19">
      <w:pPr>
        <w:shd w:val="clear" w:color="auto" w:fill="FFFFFF"/>
        <w:spacing w:line="240" w:lineRule="auto"/>
        <w:ind w:firstLine="0"/>
        <w:jc w:val="center"/>
        <w:rPr>
          <w:rFonts w:eastAsia="Times New Roman" w:cs="Times New Roman"/>
          <w:color w:val="000000"/>
          <w:szCs w:val="24"/>
          <w:lang w:val="en-US"/>
        </w:rPr>
      </w:pPr>
      <w:r w:rsidRPr="00693A19">
        <w:rPr>
          <w:rFonts w:eastAsia="Times New Roman" w:cs="Times New Roman"/>
          <w:color w:val="000000"/>
          <w:szCs w:val="24"/>
          <w:lang w:val="en-US"/>
        </w:rPr>
        <w:lastRenderedPageBreak/>
        <w:t>References</w:t>
      </w:r>
    </w:p>
    <w:p w14:paraId="1DC8995C" w14:textId="77777777" w:rsidR="00693A19" w:rsidRPr="00693A19" w:rsidRDefault="00693A19" w:rsidP="00693A19">
      <w:pPr>
        <w:shd w:val="clear" w:color="auto" w:fill="FFFFFF"/>
        <w:spacing w:line="550" w:lineRule="atLeast"/>
        <w:ind w:left="720" w:right="75" w:hanging="720"/>
        <w:rPr>
          <w:rFonts w:eastAsia="Times New Roman" w:cs="Times New Roman"/>
          <w:color w:val="000000"/>
          <w:szCs w:val="24"/>
          <w:lang w:val="en-US"/>
        </w:rPr>
      </w:pPr>
      <w:r w:rsidRPr="00693A19">
        <w:rPr>
          <w:rFonts w:eastAsia="Times New Roman" w:cs="Times New Roman"/>
          <w:color w:val="000000"/>
          <w:szCs w:val="24"/>
          <w:lang w:val="en-US"/>
        </w:rPr>
        <w:t>Kimmel, P. D., Weygandt, J. J., &amp; Kieso, D. E. (2016). </w:t>
      </w:r>
      <w:r w:rsidRPr="00693A19">
        <w:rPr>
          <w:rFonts w:eastAsia="Times New Roman" w:cs="Times New Roman"/>
          <w:i/>
          <w:iCs/>
          <w:color w:val="000000"/>
          <w:szCs w:val="24"/>
          <w:lang w:val="en-US"/>
        </w:rPr>
        <w:t>Financial Accounting: Tools for Business Decision Making</w:t>
      </w:r>
      <w:r w:rsidRPr="00693A19">
        <w:rPr>
          <w:rFonts w:eastAsia="Times New Roman" w:cs="Times New Roman"/>
          <w:color w:val="000000"/>
          <w:szCs w:val="24"/>
          <w:lang w:val="en-US"/>
        </w:rPr>
        <w:t> (8th ed.). Hoboken, NJ: John Wiley &amp; Sons, Inc.</w:t>
      </w:r>
    </w:p>
    <w:p w14:paraId="33B00DEE" w14:textId="77777777" w:rsidR="00693A19" w:rsidRPr="00693A19" w:rsidRDefault="00693A19" w:rsidP="00693A19">
      <w:pPr>
        <w:shd w:val="clear" w:color="auto" w:fill="FFFFFF"/>
        <w:spacing w:line="550" w:lineRule="atLeast"/>
        <w:ind w:left="720" w:right="75" w:hanging="720"/>
        <w:rPr>
          <w:rFonts w:eastAsia="Times New Roman" w:cs="Times New Roman"/>
          <w:color w:val="000000"/>
          <w:szCs w:val="24"/>
          <w:lang w:val="en-US"/>
        </w:rPr>
      </w:pPr>
      <w:r w:rsidRPr="00693A19">
        <w:rPr>
          <w:rFonts w:eastAsia="Times New Roman" w:cs="Times New Roman"/>
          <w:color w:val="000000"/>
          <w:szCs w:val="24"/>
          <w:lang w:val="en-US"/>
        </w:rPr>
        <w:t>United States Securities and Exchange Commission. (2019). FORM 10</w:t>
      </w:r>
      <w:r w:rsidRPr="00693A19">
        <w:rPr>
          <w:rFonts w:eastAsia="Times New Roman" w:cs="Times New Roman"/>
          <w:color w:val="000000"/>
          <w:szCs w:val="24"/>
          <w:lang w:val="en-US"/>
        </w:rPr>
        <w:noBreakHyphen/>
        <w:t>K Foot Locker, Inc. Retrieved from http://sec.gov/Archives/edgar/data/850209/000155837019002753/fl-20190202x10k.htm#Item8ConsolidatedFinancialStatementsandS</w:t>
      </w:r>
    </w:p>
    <w:p w14:paraId="310B5A29" w14:textId="77777777" w:rsidR="00693A19" w:rsidRDefault="00693A19" w:rsidP="00597813"/>
    <w:p w14:paraId="7B21D515" w14:textId="77777777" w:rsidR="00985613" w:rsidRPr="00597813" w:rsidRDefault="00985613" w:rsidP="00597813"/>
    <w:p w14:paraId="463B4E60" w14:textId="77777777" w:rsidR="004702C8" w:rsidRDefault="004702C8"/>
    <w:sectPr w:rsidR="004702C8" w:rsidSect="008747C1">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7A779" w14:textId="77777777" w:rsidR="00315F07" w:rsidRDefault="00315F07" w:rsidP="008747C1">
      <w:pPr>
        <w:spacing w:line="240" w:lineRule="auto"/>
      </w:pPr>
      <w:r>
        <w:separator/>
      </w:r>
    </w:p>
  </w:endnote>
  <w:endnote w:type="continuationSeparator" w:id="0">
    <w:p w14:paraId="3F6C93FC" w14:textId="77777777" w:rsidR="00315F07" w:rsidRDefault="00315F07" w:rsidP="008747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CF131" w14:textId="77777777" w:rsidR="00315F07" w:rsidRDefault="00315F07" w:rsidP="008747C1">
      <w:pPr>
        <w:spacing w:line="240" w:lineRule="auto"/>
      </w:pPr>
      <w:r>
        <w:separator/>
      </w:r>
    </w:p>
  </w:footnote>
  <w:footnote w:type="continuationSeparator" w:id="0">
    <w:p w14:paraId="30D2F523" w14:textId="77777777" w:rsidR="00315F07" w:rsidRDefault="00315F07" w:rsidP="008747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2833786"/>
      <w:docPartObj>
        <w:docPartGallery w:val="Page Numbers (Top of Page)"/>
        <w:docPartUnique/>
      </w:docPartObj>
    </w:sdtPr>
    <w:sdtEndPr>
      <w:rPr>
        <w:noProof/>
      </w:rPr>
    </w:sdtEndPr>
    <w:sdtContent>
      <w:p w14:paraId="33CE8D84" w14:textId="32F703B5" w:rsidR="008747C1" w:rsidRDefault="008747C1">
        <w:pPr>
          <w:pStyle w:val="Header"/>
          <w:jc w:val="right"/>
        </w:pPr>
        <w:r>
          <w:t>STOCKHOLDERS EQUITY</w:t>
        </w:r>
        <w:r>
          <w:tab/>
        </w:r>
        <w:r>
          <w:tab/>
        </w:r>
        <w:r>
          <w:fldChar w:fldCharType="begin"/>
        </w:r>
        <w:r>
          <w:instrText xml:space="preserve"> PAGE   \* MERGEFORMAT </w:instrText>
        </w:r>
        <w:r>
          <w:fldChar w:fldCharType="separate"/>
        </w:r>
        <w:r>
          <w:rPr>
            <w:noProof/>
          </w:rPr>
          <w:t>2</w:t>
        </w:r>
        <w:r>
          <w:rPr>
            <w:noProof/>
          </w:rPr>
          <w:fldChar w:fldCharType="end"/>
        </w:r>
      </w:p>
    </w:sdtContent>
  </w:sdt>
  <w:p w14:paraId="55EBD379" w14:textId="77777777" w:rsidR="008747C1" w:rsidRDefault="00874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74FFA" w14:textId="2C76AF00" w:rsidR="008747C1" w:rsidRDefault="008747C1">
    <w:pPr>
      <w:pStyle w:val="Header"/>
    </w:pPr>
    <w:r>
      <w:t xml:space="preserve">Running head: </w:t>
    </w:r>
    <w:r>
      <w:t>STOCKHOLDERS EQUITY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4B"/>
    <w:rsid w:val="0009650D"/>
    <w:rsid w:val="002B2009"/>
    <w:rsid w:val="00307078"/>
    <w:rsid w:val="00315F07"/>
    <w:rsid w:val="003A5922"/>
    <w:rsid w:val="0040754B"/>
    <w:rsid w:val="00410AA5"/>
    <w:rsid w:val="00466403"/>
    <w:rsid w:val="004702C8"/>
    <w:rsid w:val="004B7A97"/>
    <w:rsid w:val="004D2B94"/>
    <w:rsid w:val="00576CDA"/>
    <w:rsid w:val="00597813"/>
    <w:rsid w:val="005E31DD"/>
    <w:rsid w:val="00617173"/>
    <w:rsid w:val="00693A19"/>
    <w:rsid w:val="006C02B1"/>
    <w:rsid w:val="006E26B3"/>
    <w:rsid w:val="00701BD7"/>
    <w:rsid w:val="00733BE7"/>
    <w:rsid w:val="0079161E"/>
    <w:rsid w:val="0086610C"/>
    <w:rsid w:val="00867F92"/>
    <w:rsid w:val="008747C1"/>
    <w:rsid w:val="00972698"/>
    <w:rsid w:val="00985613"/>
    <w:rsid w:val="009B6DCD"/>
    <w:rsid w:val="00A3796E"/>
    <w:rsid w:val="00AD10A8"/>
    <w:rsid w:val="00AF416C"/>
    <w:rsid w:val="00C149FF"/>
    <w:rsid w:val="00D12D5B"/>
    <w:rsid w:val="00D83210"/>
    <w:rsid w:val="00E67253"/>
    <w:rsid w:val="00E73F47"/>
    <w:rsid w:val="00EA7F86"/>
    <w:rsid w:val="00F56A79"/>
    <w:rsid w:val="00FC3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C600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7C1"/>
    <w:pPr>
      <w:tabs>
        <w:tab w:val="center" w:pos="4680"/>
        <w:tab w:val="right" w:pos="9360"/>
      </w:tabs>
      <w:spacing w:line="240" w:lineRule="auto"/>
    </w:pPr>
  </w:style>
  <w:style w:type="character" w:customStyle="1" w:styleId="HeaderChar">
    <w:name w:val="Header Char"/>
    <w:basedOn w:val="DefaultParagraphFont"/>
    <w:link w:val="Header"/>
    <w:uiPriority w:val="99"/>
    <w:rsid w:val="008747C1"/>
  </w:style>
  <w:style w:type="paragraph" w:styleId="Footer">
    <w:name w:val="footer"/>
    <w:basedOn w:val="Normal"/>
    <w:link w:val="FooterChar"/>
    <w:uiPriority w:val="99"/>
    <w:unhideWhenUsed/>
    <w:rsid w:val="008747C1"/>
    <w:pPr>
      <w:tabs>
        <w:tab w:val="center" w:pos="4680"/>
        <w:tab w:val="right" w:pos="9360"/>
      </w:tabs>
      <w:spacing w:line="240" w:lineRule="auto"/>
    </w:pPr>
  </w:style>
  <w:style w:type="character" w:customStyle="1" w:styleId="FooterChar">
    <w:name w:val="Footer Char"/>
    <w:basedOn w:val="DefaultParagraphFont"/>
    <w:link w:val="Footer"/>
    <w:uiPriority w:val="99"/>
    <w:rsid w:val="008747C1"/>
  </w:style>
  <w:style w:type="character" w:customStyle="1" w:styleId="gray">
    <w:name w:val="gray"/>
    <w:basedOn w:val="DefaultParagraphFont"/>
    <w:rsid w:val="003A5922"/>
  </w:style>
  <w:style w:type="paragraph" w:customStyle="1" w:styleId="cpformat">
    <w:name w:val="cpformat"/>
    <w:basedOn w:val="Normal"/>
    <w:rsid w:val="00693A19"/>
    <w:pPr>
      <w:spacing w:before="100" w:beforeAutospacing="1" w:after="100" w:afterAutospacing="1" w:line="240" w:lineRule="auto"/>
      <w:ind w:firstLine="0"/>
    </w:pPr>
    <w:rPr>
      <w:rFonts w:eastAsia="Times New Roman" w:cs="Times New Roman"/>
      <w:szCs w:val="24"/>
      <w:lang w:val="en-US"/>
    </w:rPr>
  </w:style>
  <w:style w:type="character" w:styleId="Emphasis">
    <w:name w:val="Emphasis"/>
    <w:basedOn w:val="DefaultParagraphFont"/>
    <w:uiPriority w:val="20"/>
    <w:qFormat/>
    <w:rsid w:val="00693A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55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2019-12-15T04:30:00Z</dcterms:created>
  <dcterms:modified xsi:type="dcterms:W3CDTF">2019-12-15T04:31:00Z</dcterms:modified>
</cp:coreProperties>
</file>